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346"/>
        <w:tblW w:w="10490" w:type="dxa"/>
        <w:tblBorders>
          <w:top w:val="single" w:sz="24" w:space="0" w:color="4EA72E" w:themeColor="accent6"/>
          <w:left w:val="single" w:sz="24" w:space="0" w:color="4EA72E" w:themeColor="accent6"/>
          <w:bottom w:val="single" w:sz="24" w:space="0" w:color="4EA72E" w:themeColor="accent6"/>
          <w:right w:val="single" w:sz="24" w:space="0" w:color="4EA72E" w:themeColor="accent6"/>
          <w:insideH w:val="single" w:sz="24" w:space="0" w:color="4EA72E" w:themeColor="accent6"/>
          <w:insideV w:val="single" w:sz="24" w:space="0" w:color="4EA72E" w:themeColor="accent6"/>
        </w:tblBorders>
        <w:tblLook w:val="04A0" w:firstRow="1" w:lastRow="0" w:firstColumn="1" w:lastColumn="0" w:noHBand="0" w:noVBand="1"/>
      </w:tblPr>
      <w:tblGrid>
        <w:gridCol w:w="1514"/>
        <w:gridCol w:w="8976"/>
      </w:tblGrid>
      <w:tr w:rsidR="00C926AA" w:rsidRPr="00F3227F" w14:paraId="55A43E5E" w14:textId="77777777" w:rsidTr="5B042DD0">
        <w:tc>
          <w:tcPr>
            <w:tcW w:w="1443" w:type="dxa"/>
          </w:tcPr>
          <w:p w14:paraId="34E8D327" w14:textId="77777777" w:rsidR="00C926AA" w:rsidRPr="00F3227F" w:rsidRDefault="00C926AA" w:rsidP="5B042DD0">
            <w:pPr>
              <w:pStyle w:val="NoSpacing"/>
              <w:rPr>
                <w:rFonts w:ascii="Letter-join Basic 16" w:eastAsia="Roboto" w:hAnsi="Letter-join Basic 16" w:cs="Roboto"/>
              </w:rPr>
            </w:pPr>
            <w:r w:rsidRPr="00F3227F">
              <w:rPr>
                <w:rFonts w:ascii="Letter-join Basic 16" w:hAnsi="Letter-join Basic 16"/>
                <w:noProof/>
              </w:rPr>
              <w:drawing>
                <wp:inline distT="0" distB="0" distL="0" distR="0" wp14:anchorId="18F98979" wp14:editId="0FEB0D52">
                  <wp:extent cx="824659" cy="704850"/>
                  <wp:effectExtent l="0" t="0" r="0" b="0"/>
                  <wp:docPr id="999733868" name="Picture 1" descr="A logo with lett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824659" cy="704850"/>
                          </a:xfrm>
                          <a:prstGeom prst="rect">
                            <a:avLst/>
                          </a:prstGeom>
                        </pic:spPr>
                      </pic:pic>
                    </a:graphicData>
                  </a:graphic>
                </wp:inline>
              </w:drawing>
            </w:r>
          </w:p>
        </w:tc>
        <w:tc>
          <w:tcPr>
            <w:tcW w:w="9047" w:type="dxa"/>
          </w:tcPr>
          <w:p w14:paraId="16F6B76B" w14:textId="77777777" w:rsidR="005E228C" w:rsidRPr="00F3227F" w:rsidRDefault="005E228C" w:rsidP="5B042DD0">
            <w:pPr>
              <w:jc w:val="center"/>
              <w:rPr>
                <w:rFonts w:ascii="Letter-join Basic 16" w:eastAsia="Roboto" w:hAnsi="Letter-join Basic 16" w:cs="Roboto"/>
                <w:color w:val="3A7C22" w:themeColor="accent6" w:themeShade="BF"/>
                <w:sz w:val="36"/>
                <w:szCs w:val="36"/>
              </w:rPr>
            </w:pPr>
            <w:r w:rsidRPr="00F3227F">
              <w:rPr>
                <w:rFonts w:ascii="Letter-join Basic 16" w:eastAsia="Roboto" w:hAnsi="Letter-join Basic 16" w:cs="Roboto"/>
                <w:color w:val="3A7C22" w:themeColor="accent6" w:themeShade="BF"/>
                <w:sz w:val="36"/>
                <w:szCs w:val="36"/>
              </w:rPr>
              <w:t xml:space="preserve">Peel Park Primary School </w:t>
            </w:r>
          </w:p>
          <w:p w14:paraId="13C708AB" w14:textId="4D2550FF" w:rsidR="00C926AA" w:rsidRPr="00F3227F" w:rsidRDefault="00317597" w:rsidP="5B042DD0">
            <w:pPr>
              <w:jc w:val="center"/>
              <w:rPr>
                <w:rFonts w:ascii="Letter-join Basic 16" w:eastAsia="Roboto" w:hAnsi="Letter-join Basic 16" w:cs="Roboto"/>
                <w:sz w:val="44"/>
                <w:szCs w:val="44"/>
              </w:rPr>
            </w:pPr>
            <w:r>
              <w:rPr>
                <w:rFonts w:ascii="Letter-join Basic 16" w:eastAsia="Roboto" w:hAnsi="Letter-join Basic 16" w:cs="Roboto"/>
                <w:color w:val="3A7C22" w:themeColor="accent6" w:themeShade="BF"/>
                <w:sz w:val="36"/>
                <w:szCs w:val="36"/>
              </w:rPr>
              <w:t>Spring</w:t>
            </w:r>
            <w:r w:rsidR="005E228C" w:rsidRPr="00F3227F">
              <w:rPr>
                <w:rFonts w:ascii="Letter-join Basic 16" w:eastAsia="Roboto" w:hAnsi="Letter-join Basic 16" w:cs="Roboto"/>
                <w:color w:val="3A7C22" w:themeColor="accent6" w:themeShade="BF"/>
                <w:sz w:val="36"/>
                <w:szCs w:val="36"/>
              </w:rPr>
              <w:t xml:space="preserve"> Term 202</w:t>
            </w:r>
            <w:r>
              <w:rPr>
                <w:rFonts w:ascii="Letter-join Basic 16" w:eastAsia="Roboto" w:hAnsi="Letter-join Basic 16" w:cs="Roboto"/>
                <w:color w:val="3A7C22" w:themeColor="accent6" w:themeShade="BF"/>
                <w:sz w:val="36"/>
                <w:szCs w:val="36"/>
              </w:rPr>
              <w:t>6</w:t>
            </w:r>
            <w:r w:rsidR="005E228C" w:rsidRPr="00F3227F">
              <w:rPr>
                <w:rFonts w:ascii="Letter-join Basic 16" w:eastAsia="Roboto" w:hAnsi="Letter-join Basic 16" w:cs="Roboto"/>
                <w:color w:val="3A7C22" w:themeColor="accent6" w:themeShade="BF"/>
                <w:sz w:val="36"/>
                <w:szCs w:val="36"/>
              </w:rPr>
              <w:t xml:space="preserve"> Year </w:t>
            </w:r>
            <w:r w:rsidR="004672B9">
              <w:rPr>
                <w:rFonts w:ascii="Letter-join Basic 16" w:eastAsia="Roboto" w:hAnsi="Letter-join Basic 16" w:cs="Roboto"/>
                <w:color w:val="3A7C22" w:themeColor="accent6" w:themeShade="BF"/>
                <w:sz w:val="36"/>
                <w:szCs w:val="36"/>
              </w:rPr>
              <w:t>6</w:t>
            </w:r>
            <w:r w:rsidR="005E228C" w:rsidRPr="00F3227F">
              <w:rPr>
                <w:rFonts w:ascii="Letter-join Basic 16" w:eastAsia="Roboto" w:hAnsi="Letter-join Basic 16" w:cs="Roboto"/>
                <w:color w:val="3A7C22" w:themeColor="accent6" w:themeShade="BF"/>
                <w:sz w:val="36"/>
                <w:szCs w:val="36"/>
              </w:rPr>
              <w:t xml:space="preserve"> Curriculum Information</w:t>
            </w:r>
          </w:p>
        </w:tc>
      </w:tr>
    </w:tbl>
    <w:p w14:paraId="20655306" w14:textId="77777777" w:rsidR="007774C3" w:rsidRPr="00F3227F" w:rsidRDefault="007774C3" w:rsidP="5B042DD0">
      <w:pPr>
        <w:pStyle w:val="NoSpacing"/>
        <w:rPr>
          <w:rFonts w:ascii="Letter-join Basic 16" w:eastAsia="Roboto" w:hAnsi="Letter-join Basic 16" w:cs="Roboto"/>
          <w:sz w:val="16"/>
          <w:szCs w:val="16"/>
        </w:rPr>
      </w:pPr>
    </w:p>
    <w:p w14:paraId="1AC87E76" w14:textId="61D1BE2F" w:rsidR="004C24B3" w:rsidRPr="00F3227F" w:rsidRDefault="004C24B3" w:rsidP="5B042DD0">
      <w:pPr>
        <w:pStyle w:val="NoSpacing"/>
        <w:rPr>
          <w:rFonts w:ascii="Letter-join Basic 16" w:eastAsia="Roboto" w:hAnsi="Letter-join Basic 16" w:cs="Roboto"/>
        </w:rPr>
      </w:pPr>
      <w:r w:rsidRPr="00F3227F">
        <w:rPr>
          <w:rFonts w:ascii="Letter-join Basic 16" w:eastAsia="Roboto" w:hAnsi="Letter-join Basic 16" w:cs="Roboto"/>
          <w:b/>
          <w:bCs/>
        </w:rPr>
        <w:t xml:space="preserve">Learning in </w:t>
      </w:r>
      <w:r w:rsidRPr="00F3227F">
        <w:rPr>
          <w:rFonts w:ascii="Letter-join Basic 16" w:eastAsia="Roboto" w:hAnsi="Letter-join Basic 16" w:cs="Roboto"/>
          <w:b/>
          <w:bCs/>
          <w:color w:val="FF0000"/>
        </w:rPr>
        <w:t xml:space="preserve">Year </w:t>
      </w:r>
      <w:r w:rsidR="004672B9">
        <w:rPr>
          <w:rFonts w:ascii="Letter-join Basic 16" w:eastAsia="Roboto" w:hAnsi="Letter-join Basic 16" w:cs="Roboto"/>
          <w:b/>
          <w:bCs/>
          <w:color w:val="FF0000"/>
        </w:rPr>
        <w:t>6</w:t>
      </w:r>
      <w:r w:rsidR="00B72034" w:rsidRPr="00F3227F">
        <w:rPr>
          <w:rFonts w:ascii="Letter-join Basic 16" w:eastAsia="Roboto" w:hAnsi="Letter-join Basic 16" w:cs="Roboto"/>
          <w:b/>
          <w:bCs/>
          <w:color w:val="FF0000"/>
        </w:rPr>
        <w:t xml:space="preserve"> </w:t>
      </w:r>
      <w:r w:rsidRPr="00F3227F">
        <w:rPr>
          <w:rFonts w:ascii="Letter-join Basic 16" w:eastAsia="Roboto" w:hAnsi="Letter-join Basic 16" w:cs="Roboto"/>
          <w:b/>
          <w:bCs/>
        </w:rPr>
        <w:t xml:space="preserve">this term: </w:t>
      </w:r>
    </w:p>
    <w:p w14:paraId="3B12F11E" w14:textId="77777777" w:rsidR="007774C3" w:rsidRPr="00F3227F" w:rsidRDefault="007774C3" w:rsidP="5B042DD0">
      <w:pPr>
        <w:pStyle w:val="NoSpacing"/>
        <w:rPr>
          <w:rFonts w:ascii="Letter-join Basic 16" w:eastAsia="Roboto" w:hAnsi="Letter-join Basic 16" w:cs="Roboto"/>
        </w:rPr>
      </w:pPr>
    </w:p>
    <w:tbl>
      <w:tblPr>
        <w:tblStyle w:val="TableGrid"/>
        <w:tblW w:w="10490" w:type="dxa"/>
        <w:tblInd w:w="-15" w:type="dxa"/>
        <w:tblBorders>
          <w:top w:val="single" w:sz="12" w:space="0" w:color="4EA72E" w:themeColor="accent6"/>
          <w:left w:val="single" w:sz="12" w:space="0" w:color="4EA72E" w:themeColor="accent6"/>
          <w:bottom w:val="single" w:sz="12" w:space="0" w:color="4EA72E" w:themeColor="accent6"/>
          <w:right w:val="single" w:sz="12" w:space="0" w:color="4EA72E" w:themeColor="accent6"/>
          <w:insideH w:val="single" w:sz="12" w:space="0" w:color="4EA72E" w:themeColor="accent6"/>
          <w:insideV w:val="single" w:sz="12" w:space="0" w:color="4EA72E" w:themeColor="accent6"/>
        </w:tblBorders>
        <w:tblLayout w:type="fixed"/>
        <w:tblLook w:val="04A0" w:firstRow="1" w:lastRow="0" w:firstColumn="1" w:lastColumn="0" w:noHBand="0" w:noVBand="1"/>
      </w:tblPr>
      <w:tblGrid>
        <w:gridCol w:w="1985"/>
        <w:gridCol w:w="1984"/>
        <w:gridCol w:w="6521"/>
      </w:tblGrid>
      <w:tr w:rsidR="00C926AA" w:rsidRPr="00F3227F" w14:paraId="32AA91BE" w14:textId="52107961" w:rsidTr="00AA094D">
        <w:tc>
          <w:tcPr>
            <w:tcW w:w="1985" w:type="dxa"/>
          </w:tcPr>
          <w:p w14:paraId="43881FCB" w14:textId="7777777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English</w:t>
            </w:r>
          </w:p>
          <w:p w14:paraId="755CC241" w14:textId="08F9E206" w:rsidR="007774C3" w:rsidRPr="00F3227F" w:rsidRDefault="007774C3" w:rsidP="5B042DD0">
            <w:pPr>
              <w:rPr>
                <w:rFonts w:ascii="Letter-join Basic 16" w:eastAsia="Roboto" w:hAnsi="Letter-join Basic 16" w:cs="Roboto"/>
                <w:b/>
                <w:bCs/>
                <w:sz w:val="32"/>
                <w:szCs w:val="32"/>
              </w:rPr>
            </w:pPr>
          </w:p>
        </w:tc>
        <w:tc>
          <w:tcPr>
            <w:tcW w:w="1984" w:type="dxa"/>
          </w:tcPr>
          <w:p w14:paraId="4B9BBF4D" w14:textId="0125893B"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54B834D" wp14:editId="320C508F">
                  <wp:extent cx="630523" cy="561975"/>
                  <wp:effectExtent l="0" t="0" r="0" b="0"/>
                  <wp:docPr id="6857058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523" cy="561975"/>
                          </a:xfrm>
                          <a:prstGeom prst="rect">
                            <a:avLst/>
                          </a:prstGeom>
                        </pic:spPr>
                      </pic:pic>
                    </a:graphicData>
                  </a:graphic>
                </wp:inline>
              </w:drawing>
            </w:r>
          </w:p>
        </w:tc>
        <w:tc>
          <w:tcPr>
            <w:tcW w:w="6521" w:type="dxa"/>
          </w:tcPr>
          <w:p w14:paraId="5D0D4EA3" w14:textId="2DDCFD77" w:rsidR="007774C3" w:rsidRPr="00F3227F" w:rsidRDefault="004672B9" w:rsidP="5B042DD0">
            <w:pPr>
              <w:rPr>
                <w:rFonts w:ascii="Letter-join Basic 16" w:eastAsia="Roboto" w:hAnsi="Letter-join Basic 16" w:cs="Roboto"/>
              </w:rPr>
            </w:pPr>
            <w:r w:rsidRPr="004672B9">
              <w:rPr>
                <w:rFonts w:ascii="Letter-join Basic 16" w:eastAsia="Roboto" w:hAnsi="Letter-join Basic 16" w:cs="Roboto"/>
              </w:rPr>
              <w:t xml:space="preserve">During Spring 1, pupils will begin with a </w:t>
            </w:r>
            <w:r w:rsidRPr="004672B9">
              <w:rPr>
                <w:rFonts w:ascii="Letter-join Basic 16" w:eastAsia="Roboto" w:hAnsi="Letter-join Basic 16" w:cs="Roboto"/>
                <w:i/>
                <w:iCs/>
              </w:rPr>
              <w:t>Winter Poetry</w:t>
            </w:r>
            <w:r w:rsidRPr="004672B9">
              <w:rPr>
                <w:rFonts w:ascii="Letter-join Basic 16" w:eastAsia="Roboto" w:hAnsi="Letter-join Basic 16" w:cs="Roboto"/>
              </w:rPr>
              <w:t xml:space="preserve"> </w:t>
            </w:r>
            <w:proofErr w:type="gramStart"/>
            <w:r w:rsidRPr="004672B9">
              <w:rPr>
                <w:rFonts w:ascii="Letter-join Basic 16" w:eastAsia="Roboto" w:hAnsi="Letter-join Basic 16" w:cs="Roboto"/>
              </w:rPr>
              <w:t>theme,  developing</w:t>
            </w:r>
            <w:proofErr w:type="gramEnd"/>
            <w:r w:rsidRPr="004672B9">
              <w:rPr>
                <w:rFonts w:ascii="Letter-join Basic 16" w:eastAsia="Roboto" w:hAnsi="Letter-join Basic 16" w:cs="Roboto"/>
              </w:rPr>
              <w:t xml:space="preserve"> their understanding of language, imagery, and poetic techniques. This will be followed by the </w:t>
            </w:r>
            <w:r>
              <w:rPr>
                <w:rFonts w:ascii="Letter-join Basic 16" w:eastAsia="Roboto" w:hAnsi="Letter-join Basic 16" w:cs="Roboto"/>
              </w:rPr>
              <w:t>novel</w:t>
            </w:r>
            <w:r w:rsidRPr="004672B9">
              <w:rPr>
                <w:rFonts w:ascii="Letter-join Basic 16" w:eastAsia="Roboto" w:hAnsi="Letter-join Basic 16" w:cs="Roboto"/>
              </w:rPr>
              <w:t xml:space="preserve"> </w:t>
            </w:r>
            <w:r>
              <w:rPr>
                <w:rFonts w:ascii="Letter-join Basic 16" w:eastAsia="Roboto" w:hAnsi="Letter-join Basic 16" w:cs="Roboto"/>
              </w:rPr>
              <w:t>‘</w:t>
            </w:r>
            <w:r w:rsidRPr="004672B9">
              <w:rPr>
                <w:rFonts w:ascii="Letter-join Basic 16" w:eastAsia="Roboto" w:hAnsi="Letter-join Basic 16" w:cs="Roboto"/>
                <w:i/>
                <w:iCs/>
              </w:rPr>
              <w:t>Making More Noise</w:t>
            </w:r>
            <w:r w:rsidRPr="004672B9">
              <w:rPr>
                <w:rFonts w:ascii="Letter-join Basic 16" w:eastAsia="Roboto" w:hAnsi="Letter-join Basic 16" w:cs="Roboto"/>
              </w:rPr>
              <w:t>,</w:t>
            </w:r>
            <w:r>
              <w:rPr>
                <w:rFonts w:ascii="Letter-join Basic 16" w:eastAsia="Roboto" w:hAnsi="Letter-join Basic 16" w:cs="Roboto"/>
              </w:rPr>
              <w:t xml:space="preserve">’ </w:t>
            </w:r>
            <w:r w:rsidRPr="004672B9">
              <w:rPr>
                <w:rFonts w:ascii="Letter-join Basic 16" w:eastAsia="Roboto" w:hAnsi="Letter-join Basic 16" w:cs="Roboto"/>
              </w:rPr>
              <w:t>where pupils will delve into the lives and impact of influential figures</w:t>
            </w:r>
            <w:r>
              <w:rPr>
                <w:rFonts w:ascii="Letter-join Basic 16" w:eastAsia="Roboto" w:hAnsi="Letter-join Basic 16" w:cs="Roboto"/>
              </w:rPr>
              <w:t>.</w:t>
            </w:r>
            <w:r w:rsidRPr="004672B9">
              <w:rPr>
                <w:rFonts w:ascii="Letter-join Basic 16" w:eastAsia="Roboto" w:hAnsi="Letter-join Basic 16" w:cs="Roboto"/>
              </w:rPr>
              <w:t xml:space="preserve"> In Spring 2, pupils will study </w:t>
            </w:r>
            <w:r w:rsidRPr="004672B9">
              <w:rPr>
                <w:rFonts w:ascii="Letter-join Basic 16" w:eastAsia="Roboto" w:hAnsi="Letter-join Basic 16" w:cs="Roboto"/>
                <w:i/>
                <w:iCs/>
              </w:rPr>
              <w:t>Pig Heart Boy</w:t>
            </w:r>
            <w:r w:rsidRPr="004672B9">
              <w:rPr>
                <w:rFonts w:ascii="Letter-join Basic 16" w:eastAsia="Roboto" w:hAnsi="Letter-join Basic 16" w:cs="Roboto"/>
              </w:rPr>
              <w:t xml:space="preserve"> by Malorie Blackman, using the text to explore ethical issues and character perspectives, alongside developing their ability to write persuasively and construct balanced arguments.</w:t>
            </w:r>
          </w:p>
        </w:tc>
      </w:tr>
      <w:tr w:rsidR="00C926AA" w:rsidRPr="00F3227F" w14:paraId="5DCEE0B9" w14:textId="628E993B" w:rsidTr="00AA094D">
        <w:tc>
          <w:tcPr>
            <w:tcW w:w="1985" w:type="dxa"/>
          </w:tcPr>
          <w:p w14:paraId="1E6A3A73" w14:textId="7777777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Maths</w:t>
            </w:r>
          </w:p>
          <w:p w14:paraId="54A5E9E9" w14:textId="7EC5E8B2" w:rsidR="007774C3" w:rsidRPr="00F3227F" w:rsidRDefault="007774C3" w:rsidP="5B042DD0">
            <w:pPr>
              <w:rPr>
                <w:rFonts w:ascii="Letter-join Basic 16" w:eastAsia="Roboto" w:hAnsi="Letter-join Basic 16" w:cs="Roboto"/>
                <w:b/>
                <w:bCs/>
                <w:sz w:val="32"/>
                <w:szCs w:val="32"/>
              </w:rPr>
            </w:pPr>
          </w:p>
        </w:tc>
        <w:tc>
          <w:tcPr>
            <w:tcW w:w="1984" w:type="dxa"/>
          </w:tcPr>
          <w:p w14:paraId="6EFFA8F6" w14:textId="476804C2"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7C8B60FD" wp14:editId="6FAB9A03">
                  <wp:extent cx="485775" cy="485775"/>
                  <wp:effectExtent l="0" t="0" r="9525" b="9525"/>
                  <wp:docPr id="1336183649" name="Picture 7" descr="Maths Icon&quot; Images – Browse 3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inline>
              </w:drawing>
            </w:r>
          </w:p>
        </w:tc>
        <w:tc>
          <w:tcPr>
            <w:tcW w:w="6521" w:type="dxa"/>
          </w:tcPr>
          <w:p w14:paraId="13995A5B" w14:textId="7ADE4966" w:rsidR="007774C3" w:rsidRPr="00F3227F" w:rsidRDefault="004672B9" w:rsidP="5B042DD0">
            <w:pPr>
              <w:rPr>
                <w:rFonts w:ascii="Letter-join Basic 16" w:eastAsia="Roboto" w:hAnsi="Letter-join Basic 16" w:cs="Roboto"/>
              </w:rPr>
            </w:pPr>
            <w:r w:rsidRPr="004672B9">
              <w:rPr>
                <w:rFonts w:ascii="Letter-join Basic 16" w:eastAsia="Roboto" w:hAnsi="Letter-join Basic 16" w:cs="Roboto"/>
              </w:rPr>
              <w:t>In Spring 1, children will focus on developing their understanding of ratio and algebra before moving on to fractions, decimals, and percentages. This will help strengthen their reasoning and problem-solving skills across a range of mathematical contexts. During Spring 2, children will study measurement, with a particular focus on area and perimeter, before concluding the term with statistics, where they will learn to interpret and represent data accurately.</w:t>
            </w:r>
          </w:p>
        </w:tc>
      </w:tr>
      <w:tr w:rsidR="00C926AA" w:rsidRPr="00F3227F" w14:paraId="2C443D30" w14:textId="7D2C1A70" w:rsidTr="00AA094D">
        <w:tc>
          <w:tcPr>
            <w:tcW w:w="1985" w:type="dxa"/>
          </w:tcPr>
          <w:p w14:paraId="38AE0BF2" w14:textId="58F4BDD5"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Science</w:t>
            </w:r>
          </w:p>
        </w:tc>
        <w:tc>
          <w:tcPr>
            <w:tcW w:w="1984" w:type="dxa"/>
          </w:tcPr>
          <w:p w14:paraId="1E10A38C" w14:textId="5AC83B7A"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10AE6ED0" wp14:editId="5CF78999">
                  <wp:extent cx="600075" cy="476250"/>
                  <wp:effectExtent l="0" t="0" r="9525" b="0"/>
                  <wp:docPr id="36484190" name="Picture 8" descr="Science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0075" cy="476250"/>
                          </a:xfrm>
                          <a:prstGeom prst="rect">
                            <a:avLst/>
                          </a:prstGeom>
                        </pic:spPr>
                      </pic:pic>
                    </a:graphicData>
                  </a:graphic>
                </wp:inline>
              </w:drawing>
            </w:r>
          </w:p>
        </w:tc>
        <w:tc>
          <w:tcPr>
            <w:tcW w:w="6521" w:type="dxa"/>
          </w:tcPr>
          <w:p w14:paraId="1FFF4289" w14:textId="055BD4AA" w:rsidR="001B2B88" w:rsidRPr="00F3227F" w:rsidRDefault="007867F6" w:rsidP="00E36396">
            <w:pPr>
              <w:rPr>
                <w:rFonts w:ascii="Letter-join Basic 16" w:eastAsia="Roboto" w:hAnsi="Letter-join Basic 16" w:cs="Roboto"/>
              </w:rPr>
            </w:pPr>
            <w:r w:rsidRPr="007867F6">
              <w:rPr>
                <w:rFonts w:ascii="Letter-join Basic 16" w:eastAsia="Roboto" w:hAnsi="Letter-join Basic 16" w:cs="Roboto"/>
              </w:rPr>
              <w:t xml:space="preserve">In Science, children will explore the question </w:t>
            </w:r>
            <w:r w:rsidRPr="007867F6">
              <w:rPr>
                <w:rFonts w:ascii="Letter-join Basic 16" w:eastAsia="Roboto" w:hAnsi="Letter-join Basic 16" w:cs="Roboto"/>
                <w:i/>
                <w:iCs/>
              </w:rPr>
              <w:t>‘How do we see?’</w:t>
            </w:r>
            <w:r w:rsidRPr="007867F6">
              <w:rPr>
                <w:rFonts w:ascii="Letter-join Basic 16" w:eastAsia="Roboto" w:hAnsi="Letter-join Basic 16" w:cs="Roboto"/>
              </w:rPr>
              <w:t xml:space="preserve"> by learning about light, vision, and how the eyes work. Through a range of practical investigations and experiments, pupils will develop their scientific enquiry skills, make observations, and draw conclusions based on evidence.</w:t>
            </w:r>
          </w:p>
        </w:tc>
      </w:tr>
      <w:tr w:rsidR="00C926AA" w:rsidRPr="00F3227F" w14:paraId="5B07C5F2" w14:textId="1EA84163" w:rsidTr="00AA094D">
        <w:tc>
          <w:tcPr>
            <w:tcW w:w="1985" w:type="dxa"/>
          </w:tcPr>
          <w:p w14:paraId="50EC340D" w14:textId="1040AAB1"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Computing</w:t>
            </w:r>
          </w:p>
        </w:tc>
        <w:tc>
          <w:tcPr>
            <w:tcW w:w="1984" w:type="dxa"/>
          </w:tcPr>
          <w:p w14:paraId="7A6AD98D" w14:textId="7DAE6592" w:rsidR="007774C3" w:rsidRPr="00F3227F" w:rsidRDefault="003C645E"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665892C7" wp14:editId="1ED4DC59">
                  <wp:extent cx="933450" cy="581025"/>
                  <wp:effectExtent l="0" t="0" r="0" b="9525"/>
                  <wp:docPr id="3258125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3450" cy="581025"/>
                          </a:xfrm>
                          <a:prstGeom prst="rect">
                            <a:avLst/>
                          </a:prstGeom>
                        </pic:spPr>
                      </pic:pic>
                    </a:graphicData>
                  </a:graphic>
                </wp:inline>
              </w:drawing>
            </w:r>
          </w:p>
        </w:tc>
        <w:tc>
          <w:tcPr>
            <w:tcW w:w="6521" w:type="dxa"/>
          </w:tcPr>
          <w:p w14:paraId="37E12E9C" w14:textId="47558906"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In Computing, children will develop their programming skills by learning how to use variables within games, enabling them to create and modify interactive programs. Alongside this, pupils will focus on </w:t>
            </w:r>
            <w:r>
              <w:rPr>
                <w:rFonts w:ascii="Letter-join Basic 16" w:eastAsia="Roboto" w:hAnsi="Letter-join Basic 16" w:cs="Roboto"/>
              </w:rPr>
              <w:t>E-</w:t>
            </w:r>
            <w:r w:rsidRPr="007867F6">
              <w:rPr>
                <w:rFonts w:ascii="Letter-join Basic 16" w:eastAsia="Roboto" w:hAnsi="Letter-join Basic 16" w:cs="Roboto"/>
              </w:rPr>
              <w:t>Safety, developing an understanding of how to stay safe, responsible, and respectful when using technology and the internet.</w:t>
            </w:r>
          </w:p>
        </w:tc>
      </w:tr>
      <w:tr w:rsidR="00C926AA" w:rsidRPr="00F3227F" w14:paraId="747BB603" w14:textId="54C5E0A0" w:rsidTr="00AA094D">
        <w:tc>
          <w:tcPr>
            <w:tcW w:w="1985" w:type="dxa"/>
          </w:tcPr>
          <w:p w14:paraId="5441C861" w14:textId="1A5D32FC"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History</w:t>
            </w:r>
          </w:p>
        </w:tc>
        <w:tc>
          <w:tcPr>
            <w:tcW w:w="1984" w:type="dxa"/>
          </w:tcPr>
          <w:p w14:paraId="6F573BC6" w14:textId="244BDF83"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0DCA5B5E" wp14:editId="6ABD8B53">
                  <wp:extent cx="1171575" cy="761365"/>
                  <wp:effectExtent l="0" t="0" r="9525" b="635"/>
                  <wp:docPr id="82126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71575" cy="761365"/>
                          </a:xfrm>
                          <a:prstGeom prst="rect">
                            <a:avLst/>
                          </a:prstGeom>
                        </pic:spPr>
                      </pic:pic>
                    </a:graphicData>
                  </a:graphic>
                </wp:inline>
              </w:drawing>
            </w:r>
          </w:p>
        </w:tc>
        <w:tc>
          <w:tcPr>
            <w:tcW w:w="6521" w:type="dxa"/>
          </w:tcPr>
          <w:p w14:paraId="46473EAE" w14:textId="63AA08FE" w:rsidR="001B2B88"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During Spring 1, children will explore the question </w:t>
            </w:r>
            <w:r w:rsidRPr="007867F6">
              <w:rPr>
                <w:rFonts w:ascii="Letter-join Basic 16" w:eastAsia="Roboto" w:hAnsi="Letter-join Basic 16" w:cs="Roboto"/>
                <w:i/>
                <w:iCs/>
              </w:rPr>
              <w:t>“Who should go on a £10 bank note?”</w:t>
            </w:r>
            <w:r w:rsidRPr="007867F6">
              <w:rPr>
                <w:rFonts w:ascii="Letter-join Basic 16" w:eastAsia="Roboto" w:hAnsi="Letter-join Basic 16" w:cs="Roboto"/>
              </w:rPr>
              <w:t>, linking with their English studies. They will investigate the lives of significant historical figures, examining their impact and why certain individuals are chosen to be commemorated. This unit will develop pupils’ understanding of historical significance, chronology, and the ways in which history is represented.</w:t>
            </w:r>
          </w:p>
        </w:tc>
      </w:tr>
      <w:tr w:rsidR="00C926AA" w:rsidRPr="00F3227F" w14:paraId="09952573" w14:textId="363C69E9" w:rsidTr="00AA094D">
        <w:tc>
          <w:tcPr>
            <w:tcW w:w="1985" w:type="dxa"/>
          </w:tcPr>
          <w:p w14:paraId="490292CA" w14:textId="5804FFB8"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Geography</w:t>
            </w:r>
          </w:p>
        </w:tc>
        <w:tc>
          <w:tcPr>
            <w:tcW w:w="1984" w:type="dxa"/>
          </w:tcPr>
          <w:p w14:paraId="21AEAC92" w14:textId="57285A86"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903172B" wp14:editId="69A95D71">
                  <wp:extent cx="1209675" cy="637742"/>
                  <wp:effectExtent l="0" t="0" r="0" b="0"/>
                  <wp:docPr id="82033632" name="Picture 12" descr="52 Geography Icon Packs - Vector Icon Pa #291872 - PNG Images - PNGio |  Doodle art journals, Diy photo book, Easy doodl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1209675" cy="637742"/>
                          </a:xfrm>
                          <a:prstGeom prst="rect">
                            <a:avLst/>
                          </a:prstGeom>
                        </pic:spPr>
                      </pic:pic>
                    </a:graphicData>
                  </a:graphic>
                </wp:inline>
              </w:drawing>
            </w:r>
          </w:p>
        </w:tc>
        <w:tc>
          <w:tcPr>
            <w:tcW w:w="6521" w:type="dxa"/>
          </w:tcPr>
          <w:p w14:paraId="46B7DB2C" w14:textId="43C6EC4C"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In Spring 2, children will explore the question </w:t>
            </w:r>
            <w:r w:rsidRPr="007867F6">
              <w:rPr>
                <w:rFonts w:ascii="Letter-join Basic 16" w:eastAsia="Roboto" w:hAnsi="Letter-join Basic 16" w:cs="Roboto"/>
                <w:i/>
                <w:iCs/>
              </w:rPr>
              <w:t>“Where does our energy come from?”</w:t>
            </w:r>
            <w:r w:rsidRPr="007867F6">
              <w:rPr>
                <w:rFonts w:ascii="Letter-join Basic 16" w:eastAsia="Roboto" w:hAnsi="Letter-join Basic 16" w:cs="Roboto"/>
              </w:rPr>
              <w:t>, investigating the different types of energy sources and how they are used around the world. This unit will help pupils make connections between energy production and their everyday lives, while developing their understanding of environmental impact, sustainability, and geographical enquiry skills.</w:t>
            </w:r>
          </w:p>
        </w:tc>
      </w:tr>
      <w:tr w:rsidR="00C926AA" w:rsidRPr="00F3227F" w14:paraId="5579B938" w14:textId="1660046C" w:rsidTr="00AA094D">
        <w:tc>
          <w:tcPr>
            <w:tcW w:w="1985" w:type="dxa"/>
          </w:tcPr>
          <w:p w14:paraId="39CA5804" w14:textId="2C90515B"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Art</w:t>
            </w:r>
          </w:p>
        </w:tc>
        <w:tc>
          <w:tcPr>
            <w:tcW w:w="1984" w:type="dxa"/>
          </w:tcPr>
          <w:p w14:paraId="591917F4" w14:textId="501A1A1E"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858FA10" wp14:editId="11F49959">
                  <wp:extent cx="989462" cy="590550"/>
                  <wp:effectExtent l="0" t="0" r="1270" b="0"/>
                  <wp:docPr id="262029866" name="Picture 13" descr="Color Splash Images – Browse 2,295,14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9462" cy="590550"/>
                          </a:xfrm>
                          <a:prstGeom prst="rect">
                            <a:avLst/>
                          </a:prstGeom>
                        </pic:spPr>
                      </pic:pic>
                    </a:graphicData>
                  </a:graphic>
                </wp:inline>
              </w:drawing>
            </w:r>
          </w:p>
        </w:tc>
        <w:tc>
          <w:tcPr>
            <w:tcW w:w="6521" w:type="dxa"/>
          </w:tcPr>
          <w:p w14:paraId="7C966A1D" w14:textId="10BAF847"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In Art, children will focus on Painting and Mixed Media, beginning with an artist study to explore different styles, techniques, and creative approaches. They will then develop their own work inspired by artists of personal interest, experimenting with materials and media to express their ideas and build confidence in their artistic skills.</w:t>
            </w:r>
          </w:p>
        </w:tc>
      </w:tr>
      <w:tr w:rsidR="00C926AA" w:rsidRPr="00F3227F" w14:paraId="558DF5E1" w14:textId="3171D44B" w:rsidTr="00AA094D">
        <w:tc>
          <w:tcPr>
            <w:tcW w:w="1985" w:type="dxa"/>
          </w:tcPr>
          <w:p w14:paraId="1B5D9C9D" w14:textId="2D0365BF"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lastRenderedPageBreak/>
              <w:t>DT</w:t>
            </w:r>
          </w:p>
        </w:tc>
        <w:tc>
          <w:tcPr>
            <w:tcW w:w="1984" w:type="dxa"/>
          </w:tcPr>
          <w:p w14:paraId="78B5CC3C" w14:textId="390879FE" w:rsidR="007774C3" w:rsidRPr="00F3227F" w:rsidRDefault="00822CE0"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656AC52D" wp14:editId="697905C9">
                  <wp:extent cx="1217295" cy="752475"/>
                  <wp:effectExtent l="0" t="0" r="1905" b="9525"/>
                  <wp:docPr id="1672541451" name="Picture 24" descr="Creswell Junior School - Design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7">
                            <a:extLst>
                              <a:ext uri="{28A0092B-C50C-407E-A947-70E740481C1C}">
                                <a14:useLocalDpi xmlns:a14="http://schemas.microsoft.com/office/drawing/2010/main" val="0"/>
                              </a:ext>
                            </a:extLst>
                          </a:blip>
                          <a:stretch>
                            <a:fillRect/>
                          </a:stretch>
                        </pic:blipFill>
                        <pic:spPr>
                          <a:xfrm>
                            <a:off x="0" y="0"/>
                            <a:ext cx="1217295" cy="752475"/>
                          </a:xfrm>
                          <a:prstGeom prst="rect">
                            <a:avLst/>
                          </a:prstGeom>
                        </pic:spPr>
                      </pic:pic>
                    </a:graphicData>
                  </a:graphic>
                </wp:inline>
              </w:drawing>
            </w:r>
          </w:p>
        </w:tc>
        <w:tc>
          <w:tcPr>
            <w:tcW w:w="6521" w:type="dxa"/>
          </w:tcPr>
          <w:p w14:paraId="76EA2187" w14:textId="7249F6C5"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In DT, children will focus on structures, designing and building their own playground models. They will explore the properties of different materials, learn how to create stable and functional designs, and develop practical skills in planning, constructing, and evaluating their work.</w:t>
            </w:r>
          </w:p>
        </w:tc>
      </w:tr>
      <w:tr w:rsidR="00C926AA" w:rsidRPr="00F3227F" w14:paraId="412AC354" w14:textId="0F15218C" w:rsidTr="00AA094D">
        <w:tc>
          <w:tcPr>
            <w:tcW w:w="1985" w:type="dxa"/>
          </w:tcPr>
          <w:p w14:paraId="0A2BB75F" w14:textId="6333ECDB"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PE</w:t>
            </w:r>
          </w:p>
        </w:tc>
        <w:tc>
          <w:tcPr>
            <w:tcW w:w="1984" w:type="dxa"/>
          </w:tcPr>
          <w:p w14:paraId="69001932" w14:textId="2C5E26AE" w:rsidR="007774C3" w:rsidRPr="00F3227F" w:rsidRDefault="00C926AA"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29B9D2F9" wp14:editId="2682C9F1">
                  <wp:extent cx="1037590" cy="571500"/>
                  <wp:effectExtent l="0" t="0" r="0" b="0"/>
                  <wp:docPr id="12103463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37590" cy="571500"/>
                          </a:xfrm>
                          <a:prstGeom prst="rect">
                            <a:avLst/>
                          </a:prstGeom>
                        </pic:spPr>
                      </pic:pic>
                    </a:graphicData>
                  </a:graphic>
                </wp:inline>
              </w:drawing>
            </w:r>
          </w:p>
        </w:tc>
        <w:tc>
          <w:tcPr>
            <w:tcW w:w="6521" w:type="dxa"/>
          </w:tcPr>
          <w:p w14:paraId="38B4A1BF" w14:textId="62053ED9" w:rsidR="007774C3" w:rsidRPr="007867F6" w:rsidRDefault="007867F6" w:rsidP="5B042DD0">
            <w:pPr>
              <w:rPr>
                <w:rFonts w:ascii="Letter-join Basic 16" w:eastAsia="Roboto" w:hAnsi="Letter-join Basic 16" w:cs="Roboto"/>
              </w:rPr>
            </w:pPr>
            <w:r w:rsidRPr="007867F6">
              <w:rPr>
                <w:rFonts w:ascii="Letter-join Basic 16" w:eastAsia="Roboto" w:hAnsi="Letter-join Basic 16" w:cs="Roboto"/>
              </w:rPr>
              <w:t>In Spring 1, children will perform a dance routine inspired by villains and heroes, with Year 6 creating their own class performances using a range of dance skills and techniques. During Spring 2, the focus will shift to gymnastics and athletics, where pupils will develop their strength, coordination, flexibility, and overall physical fitness through practical activities and challenges.</w:t>
            </w:r>
          </w:p>
        </w:tc>
      </w:tr>
      <w:tr w:rsidR="00C926AA" w:rsidRPr="00F3227F" w14:paraId="6E759AC1" w14:textId="04ADE479" w:rsidTr="00AA094D">
        <w:tc>
          <w:tcPr>
            <w:tcW w:w="1985" w:type="dxa"/>
          </w:tcPr>
          <w:p w14:paraId="39C389D0" w14:textId="3BF4C7EA"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PSHE</w:t>
            </w:r>
          </w:p>
        </w:tc>
        <w:tc>
          <w:tcPr>
            <w:tcW w:w="1984" w:type="dxa"/>
          </w:tcPr>
          <w:p w14:paraId="22B2FDE6" w14:textId="2CA81CCB" w:rsidR="007774C3" w:rsidRPr="00F3227F" w:rsidRDefault="00C926AA" w:rsidP="5B042DD0">
            <w:pPr>
              <w:rPr>
                <w:rFonts w:ascii="Letter-join Basic 16" w:eastAsia="Roboto" w:hAnsi="Letter-join Basic 16" w:cs="Roboto"/>
              </w:rPr>
            </w:pPr>
            <w:r w:rsidRPr="00F3227F">
              <w:rPr>
                <w:rFonts w:ascii="Letter-join Basic 16" w:hAnsi="Letter-join Basic 16"/>
                <w:noProof/>
              </w:rPr>
              <w:drawing>
                <wp:inline distT="0" distB="0" distL="0" distR="0" wp14:anchorId="0203B6A4" wp14:editId="2BEBC203">
                  <wp:extent cx="1089931" cy="771525"/>
                  <wp:effectExtent l="0" t="0" r="0" b="0"/>
                  <wp:docPr id="1193214139" name="Picture 18" descr="Forest Row -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89931" cy="771525"/>
                          </a:xfrm>
                          <a:prstGeom prst="rect">
                            <a:avLst/>
                          </a:prstGeom>
                        </pic:spPr>
                      </pic:pic>
                    </a:graphicData>
                  </a:graphic>
                </wp:inline>
              </w:drawing>
            </w:r>
          </w:p>
        </w:tc>
        <w:tc>
          <w:tcPr>
            <w:tcW w:w="6521" w:type="dxa"/>
          </w:tcPr>
          <w:p w14:paraId="1E229F65" w14:textId="33433C19" w:rsidR="00AA094D"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In PSHE, children will focus on </w:t>
            </w:r>
            <w:r w:rsidRPr="007867F6">
              <w:rPr>
                <w:rFonts w:ascii="Letter-join Basic 16" w:eastAsia="Roboto" w:hAnsi="Letter-join Basic 16" w:cs="Roboto"/>
                <w:i/>
                <w:iCs/>
              </w:rPr>
              <w:t>Dreams and Goals</w:t>
            </w:r>
            <w:r w:rsidRPr="007867F6">
              <w:rPr>
                <w:rFonts w:ascii="Letter-join Basic 16" w:eastAsia="Roboto" w:hAnsi="Letter-join Basic 16" w:cs="Roboto"/>
              </w:rPr>
              <w:t>, exploring their aspirations, personal strengths, and the steps needed to achieve them. Pupils will learn about setting realistic goals, overcoming challenges, and developing resilience, motivation, and teamwork skills to help them succeed both inside and outside the classroom.</w:t>
            </w:r>
          </w:p>
        </w:tc>
      </w:tr>
      <w:tr w:rsidR="00C926AA" w:rsidRPr="00F3227F" w14:paraId="229FEFE2" w14:textId="3149AA54" w:rsidTr="00AA094D">
        <w:tc>
          <w:tcPr>
            <w:tcW w:w="1985" w:type="dxa"/>
          </w:tcPr>
          <w:p w14:paraId="58AAE4AD" w14:textId="7529686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R</w:t>
            </w:r>
            <w:r w:rsidR="00AA094D" w:rsidRPr="00F3227F">
              <w:rPr>
                <w:rFonts w:ascii="Letter-join Basic 16" w:eastAsia="Roboto" w:hAnsi="Letter-join Basic 16" w:cs="Roboto"/>
                <w:b/>
                <w:bCs/>
                <w:sz w:val="32"/>
                <w:szCs w:val="32"/>
              </w:rPr>
              <w:t>eligion and Worldviews</w:t>
            </w:r>
          </w:p>
        </w:tc>
        <w:tc>
          <w:tcPr>
            <w:tcW w:w="1984" w:type="dxa"/>
          </w:tcPr>
          <w:p w14:paraId="226882A2" w14:textId="583785BC" w:rsidR="007774C3" w:rsidRPr="00F3227F" w:rsidRDefault="00C926AA" w:rsidP="5B042DD0">
            <w:pPr>
              <w:rPr>
                <w:rFonts w:ascii="Letter-join Basic 16" w:eastAsia="Roboto" w:hAnsi="Letter-join Basic 16" w:cs="Roboto"/>
              </w:rPr>
            </w:pPr>
            <w:r w:rsidRPr="00F3227F">
              <w:rPr>
                <w:rFonts w:ascii="Letter-join Basic 16" w:hAnsi="Letter-join Basic 16"/>
                <w:noProof/>
              </w:rPr>
              <w:drawing>
                <wp:inline distT="0" distB="0" distL="0" distR="0" wp14:anchorId="5991FA98" wp14:editId="49AD3450">
                  <wp:extent cx="1247775" cy="742950"/>
                  <wp:effectExtent l="0" t="0" r="9525" b="0"/>
                  <wp:docPr id="1869763974" name="Picture 19" descr="Religious Education (RE) - Diocese of Wi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0">
                            <a:extLst>
                              <a:ext uri="{28A0092B-C50C-407E-A947-70E740481C1C}">
                                <a14:useLocalDpi xmlns:a14="http://schemas.microsoft.com/office/drawing/2010/main" val="0"/>
                              </a:ext>
                            </a:extLst>
                          </a:blip>
                          <a:stretch>
                            <a:fillRect/>
                          </a:stretch>
                        </pic:blipFill>
                        <pic:spPr>
                          <a:xfrm>
                            <a:off x="0" y="0"/>
                            <a:ext cx="1247775" cy="742950"/>
                          </a:xfrm>
                          <a:prstGeom prst="rect">
                            <a:avLst/>
                          </a:prstGeom>
                        </pic:spPr>
                      </pic:pic>
                    </a:graphicData>
                  </a:graphic>
                </wp:inline>
              </w:drawing>
            </w:r>
          </w:p>
        </w:tc>
        <w:tc>
          <w:tcPr>
            <w:tcW w:w="6521" w:type="dxa"/>
          </w:tcPr>
          <w:p w14:paraId="72181AAD" w14:textId="007D64A5"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In Religion &amp; Worldviews, children will explore the question </w:t>
            </w:r>
            <w:r w:rsidRPr="007867F6">
              <w:rPr>
                <w:rFonts w:ascii="Letter-join Basic 16" w:eastAsia="Roboto" w:hAnsi="Letter-join Basic 16" w:cs="Roboto"/>
                <w:i/>
                <w:iCs/>
              </w:rPr>
              <w:t>“Why is it better to be there in person?”</w:t>
            </w:r>
            <w:r w:rsidRPr="007867F6">
              <w:rPr>
                <w:rFonts w:ascii="Letter-join Basic 16" w:eastAsia="Roboto" w:hAnsi="Letter-join Basic 16" w:cs="Roboto"/>
              </w:rPr>
              <w:t>, considering the significance of presence in religious and cultural practices. Pupils will reflect on different beliefs and traditions, discussing how personal experiences and engagement can shape understanding, respect, and appreciation of diverse worldviews.</w:t>
            </w:r>
          </w:p>
        </w:tc>
      </w:tr>
      <w:tr w:rsidR="00C926AA" w:rsidRPr="00F3227F" w14:paraId="43BFC569" w14:textId="21C44799" w:rsidTr="00AA094D">
        <w:tc>
          <w:tcPr>
            <w:tcW w:w="1985" w:type="dxa"/>
          </w:tcPr>
          <w:p w14:paraId="0F19A6BF" w14:textId="13A530AC"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Music</w:t>
            </w:r>
          </w:p>
        </w:tc>
        <w:tc>
          <w:tcPr>
            <w:tcW w:w="1984" w:type="dxa"/>
          </w:tcPr>
          <w:p w14:paraId="1EF14916" w14:textId="4359F2A4" w:rsidR="007774C3" w:rsidRPr="00F3227F" w:rsidRDefault="00822CE0" w:rsidP="5B042DD0">
            <w:pPr>
              <w:rPr>
                <w:rFonts w:ascii="Letter-join Basic 16" w:eastAsia="Roboto" w:hAnsi="Letter-join Basic 16" w:cs="Roboto"/>
              </w:rPr>
            </w:pPr>
            <w:r w:rsidRPr="00F3227F">
              <w:rPr>
                <w:rFonts w:ascii="Letter-join Basic 16" w:hAnsi="Letter-join Basic 16"/>
                <w:noProof/>
              </w:rPr>
              <w:drawing>
                <wp:inline distT="0" distB="0" distL="0" distR="0" wp14:anchorId="222BD79D" wp14:editId="3CAC94E4">
                  <wp:extent cx="1199231" cy="533400"/>
                  <wp:effectExtent l="0" t="0" r="1270" b="0"/>
                  <wp:docPr id="92307881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99231" cy="533400"/>
                          </a:xfrm>
                          <a:prstGeom prst="rect">
                            <a:avLst/>
                          </a:prstGeom>
                        </pic:spPr>
                      </pic:pic>
                    </a:graphicData>
                  </a:graphic>
                </wp:inline>
              </w:drawing>
            </w:r>
          </w:p>
        </w:tc>
        <w:tc>
          <w:tcPr>
            <w:tcW w:w="6521" w:type="dxa"/>
          </w:tcPr>
          <w:p w14:paraId="01FB9007" w14:textId="285D439C" w:rsidR="007774C3" w:rsidRPr="00F3227F" w:rsidRDefault="007867F6" w:rsidP="5B042DD0">
            <w:pPr>
              <w:rPr>
                <w:rFonts w:ascii="Letter-join Basic 16" w:eastAsia="Roboto" w:hAnsi="Letter-join Basic 16" w:cs="Roboto"/>
              </w:rPr>
            </w:pPr>
            <w:r w:rsidRPr="007867F6">
              <w:rPr>
                <w:rFonts w:ascii="Letter-join Basic 16" w:eastAsia="Roboto" w:hAnsi="Letter-join Basic 16" w:cs="Roboto"/>
              </w:rPr>
              <w:t xml:space="preserve">In Music, children will focus on </w:t>
            </w:r>
            <w:r w:rsidRPr="007867F6">
              <w:rPr>
                <w:rFonts w:ascii="Letter-join Basic 16" w:eastAsia="Roboto" w:hAnsi="Letter-join Basic 16" w:cs="Roboto"/>
                <w:i/>
                <w:iCs/>
              </w:rPr>
              <w:t>Theme and Variations</w:t>
            </w:r>
            <w:r w:rsidRPr="007867F6">
              <w:rPr>
                <w:rFonts w:ascii="Letter-join Basic 16" w:eastAsia="Roboto" w:hAnsi="Letter-join Basic 16" w:cs="Roboto"/>
              </w:rPr>
              <w:t>, exploring how a musical theme can be developed and adapted through changes in melody, rhythm, and dynamics. Pupils will listen to, analyse, and perform variations, developing their understanding of musical structure, creativity, and expressive performance skills.</w:t>
            </w:r>
          </w:p>
        </w:tc>
      </w:tr>
      <w:tr w:rsidR="00C926AA" w:rsidRPr="00F3227F" w14:paraId="311A6F94" w14:textId="2AD10F0C" w:rsidTr="00AA094D">
        <w:tc>
          <w:tcPr>
            <w:tcW w:w="1985" w:type="dxa"/>
          </w:tcPr>
          <w:p w14:paraId="7E40BAE5" w14:textId="5534224E"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French</w:t>
            </w:r>
          </w:p>
        </w:tc>
        <w:tc>
          <w:tcPr>
            <w:tcW w:w="1984" w:type="dxa"/>
          </w:tcPr>
          <w:p w14:paraId="377B661C" w14:textId="22D6CBD2" w:rsidR="007774C3" w:rsidRPr="00F3227F" w:rsidRDefault="00822CE0" w:rsidP="5B042DD0">
            <w:pPr>
              <w:rPr>
                <w:rFonts w:ascii="Letter-join Basic 16" w:eastAsia="Roboto" w:hAnsi="Letter-join Basic 16" w:cs="Roboto"/>
              </w:rPr>
            </w:pPr>
            <w:r w:rsidRPr="00F3227F">
              <w:rPr>
                <w:rFonts w:ascii="Letter-join Basic 16" w:hAnsi="Letter-join Basic 16"/>
                <w:noProof/>
              </w:rPr>
              <w:drawing>
                <wp:inline distT="0" distB="0" distL="0" distR="0" wp14:anchorId="30A81028" wp14:editId="74F1BEB8">
                  <wp:extent cx="1152525" cy="695325"/>
                  <wp:effectExtent l="0" t="0" r="9525" b="9525"/>
                  <wp:docPr id="10901423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22">
                            <a:extLst>
                              <a:ext uri="{28A0092B-C50C-407E-A947-70E740481C1C}">
                                <a14:useLocalDpi xmlns:a14="http://schemas.microsoft.com/office/drawing/2010/main" val="0"/>
                              </a:ext>
                            </a:extLst>
                          </a:blip>
                          <a:stretch>
                            <a:fillRect/>
                          </a:stretch>
                        </pic:blipFill>
                        <pic:spPr>
                          <a:xfrm>
                            <a:off x="0" y="0"/>
                            <a:ext cx="1152525" cy="695325"/>
                          </a:xfrm>
                          <a:prstGeom prst="rect">
                            <a:avLst/>
                          </a:prstGeom>
                        </pic:spPr>
                      </pic:pic>
                    </a:graphicData>
                  </a:graphic>
                </wp:inline>
              </w:drawing>
            </w:r>
          </w:p>
        </w:tc>
        <w:tc>
          <w:tcPr>
            <w:tcW w:w="6521" w:type="dxa"/>
          </w:tcPr>
          <w:p w14:paraId="313B032C" w14:textId="224451A9" w:rsidR="007774C3" w:rsidRPr="00F3227F" w:rsidRDefault="00680EC6" w:rsidP="5B042DD0">
            <w:pPr>
              <w:rPr>
                <w:rFonts w:ascii="Letter-join Basic 16" w:eastAsia="Roboto" w:hAnsi="Letter-join Basic 16" w:cs="Roboto"/>
              </w:rPr>
            </w:pPr>
            <w:r w:rsidRPr="00680EC6">
              <w:rPr>
                <w:rFonts w:ascii="Letter-join Basic 16" w:eastAsia="Roboto" w:hAnsi="Letter-join Basic 16" w:cs="Roboto"/>
              </w:rPr>
              <w:t xml:space="preserve">In French, children will focus on </w:t>
            </w:r>
            <w:r w:rsidRPr="00680EC6">
              <w:rPr>
                <w:rFonts w:ascii="Letter-join Basic 16" w:eastAsia="Roboto" w:hAnsi="Letter-join Basic 16" w:cs="Roboto"/>
                <w:i/>
                <w:iCs/>
              </w:rPr>
              <w:t>In My French House</w:t>
            </w:r>
            <w:r w:rsidRPr="00680EC6">
              <w:rPr>
                <w:rFonts w:ascii="Letter-join Basic 16" w:eastAsia="Roboto" w:hAnsi="Letter-join Basic 16" w:cs="Roboto"/>
              </w:rPr>
              <w:t>, learning vocabulary and phrases to describe rooms, furniture, and everyday objects at home. Pupils will practise speaking, listening, reading, and writing skills, using sentences to talk about their own homes and engage in simple conversations in French.</w:t>
            </w:r>
          </w:p>
        </w:tc>
      </w:tr>
    </w:tbl>
    <w:p w14:paraId="50B87722" w14:textId="5E826DDA" w:rsidR="004C24B3" w:rsidRPr="004C24B3" w:rsidRDefault="004C24B3" w:rsidP="00DB3710">
      <w:pPr>
        <w:rPr>
          <w:b/>
          <w:bCs/>
        </w:rPr>
      </w:pPr>
    </w:p>
    <w:sectPr w:rsidR="004C24B3" w:rsidRPr="004C24B3" w:rsidSect="000D5194">
      <w:pgSz w:w="11906" w:h="16838"/>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07A89" w14:textId="77777777" w:rsidR="00276BB9" w:rsidRDefault="00276BB9" w:rsidP="00822CE0">
      <w:pPr>
        <w:spacing w:after="0" w:line="240" w:lineRule="auto"/>
      </w:pPr>
      <w:r>
        <w:separator/>
      </w:r>
    </w:p>
  </w:endnote>
  <w:endnote w:type="continuationSeparator" w:id="0">
    <w:p w14:paraId="513BF2E0" w14:textId="77777777" w:rsidR="00276BB9" w:rsidRDefault="00276BB9" w:rsidP="0082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Basic 16">
    <w:panose1 w:val="02000505000000020003"/>
    <w:charset w:val="00"/>
    <w:family w:val="modern"/>
    <w:notTrueType/>
    <w:pitch w:val="variable"/>
    <w:sig w:usb0="8000002F" w:usb1="1000000B" w:usb2="00000000" w:usb3="00000000" w:csb0="00000001"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C1FB9" w14:textId="77777777" w:rsidR="00276BB9" w:rsidRDefault="00276BB9" w:rsidP="00822CE0">
      <w:pPr>
        <w:spacing w:after="0" w:line="240" w:lineRule="auto"/>
      </w:pPr>
      <w:r>
        <w:separator/>
      </w:r>
    </w:p>
  </w:footnote>
  <w:footnote w:type="continuationSeparator" w:id="0">
    <w:p w14:paraId="184D6890" w14:textId="77777777" w:rsidR="00276BB9" w:rsidRDefault="00276BB9" w:rsidP="00822CE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dXZ6+q0DMEvaWN" int2:id="AMSJdKox">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4B3"/>
    <w:rsid w:val="000560F3"/>
    <w:rsid w:val="00056D7E"/>
    <w:rsid w:val="00095EBA"/>
    <w:rsid w:val="000D5194"/>
    <w:rsid w:val="000E61F1"/>
    <w:rsid w:val="00101FA6"/>
    <w:rsid w:val="00126AFF"/>
    <w:rsid w:val="00140A23"/>
    <w:rsid w:val="00146035"/>
    <w:rsid w:val="0017023C"/>
    <w:rsid w:val="001831A8"/>
    <w:rsid w:val="001A3048"/>
    <w:rsid w:val="001B2B88"/>
    <w:rsid w:val="001F57CE"/>
    <w:rsid w:val="0025662B"/>
    <w:rsid w:val="00276BB9"/>
    <w:rsid w:val="00295D25"/>
    <w:rsid w:val="002B6F7E"/>
    <w:rsid w:val="00317597"/>
    <w:rsid w:val="00340E39"/>
    <w:rsid w:val="00371DF4"/>
    <w:rsid w:val="00373B0D"/>
    <w:rsid w:val="00392C14"/>
    <w:rsid w:val="003C520F"/>
    <w:rsid w:val="003C645E"/>
    <w:rsid w:val="003E53FC"/>
    <w:rsid w:val="003F2250"/>
    <w:rsid w:val="00410300"/>
    <w:rsid w:val="00451E77"/>
    <w:rsid w:val="004672B9"/>
    <w:rsid w:val="004C24B3"/>
    <w:rsid w:val="00512C4B"/>
    <w:rsid w:val="00543279"/>
    <w:rsid w:val="00564BAE"/>
    <w:rsid w:val="00564E32"/>
    <w:rsid w:val="005822E4"/>
    <w:rsid w:val="005B4ECA"/>
    <w:rsid w:val="005E228C"/>
    <w:rsid w:val="005E54C4"/>
    <w:rsid w:val="00612336"/>
    <w:rsid w:val="00643F8A"/>
    <w:rsid w:val="00653701"/>
    <w:rsid w:val="00661D42"/>
    <w:rsid w:val="00680EC6"/>
    <w:rsid w:val="006A6999"/>
    <w:rsid w:val="006C7759"/>
    <w:rsid w:val="006E5F19"/>
    <w:rsid w:val="006E7B7B"/>
    <w:rsid w:val="007248D0"/>
    <w:rsid w:val="00725114"/>
    <w:rsid w:val="007774C3"/>
    <w:rsid w:val="00781603"/>
    <w:rsid w:val="007861E0"/>
    <w:rsid w:val="007867F6"/>
    <w:rsid w:val="00794582"/>
    <w:rsid w:val="00796EC8"/>
    <w:rsid w:val="007A11DE"/>
    <w:rsid w:val="007B6DBD"/>
    <w:rsid w:val="007F0CBA"/>
    <w:rsid w:val="00805DE2"/>
    <w:rsid w:val="00822CE0"/>
    <w:rsid w:val="008530B1"/>
    <w:rsid w:val="00856B60"/>
    <w:rsid w:val="00885226"/>
    <w:rsid w:val="00893139"/>
    <w:rsid w:val="008B19B6"/>
    <w:rsid w:val="008D7508"/>
    <w:rsid w:val="00906C08"/>
    <w:rsid w:val="009269CE"/>
    <w:rsid w:val="00952CF3"/>
    <w:rsid w:val="0095303F"/>
    <w:rsid w:val="00995CF9"/>
    <w:rsid w:val="009C34D9"/>
    <w:rsid w:val="009C47ED"/>
    <w:rsid w:val="009D41E2"/>
    <w:rsid w:val="00A16EFB"/>
    <w:rsid w:val="00A4174E"/>
    <w:rsid w:val="00A44849"/>
    <w:rsid w:val="00A539EB"/>
    <w:rsid w:val="00A54F1F"/>
    <w:rsid w:val="00A70E70"/>
    <w:rsid w:val="00A74D3B"/>
    <w:rsid w:val="00A82634"/>
    <w:rsid w:val="00AA094D"/>
    <w:rsid w:val="00AC02EF"/>
    <w:rsid w:val="00AE597F"/>
    <w:rsid w:val="00AF56EE"/>
    <w:rsid w:val="00B12F6C"/>
    <w:rsid w:val="00B140DC"/>
    <w:rsid w:val="00B251D9"/>
    <w:rsid w:val="00B71D82"/>
    <w:rsid w:val="00B72034"/>
    <w:rsid w:val="00B81E76"/>
    <w:rsid w:val="00BA59BC"/>
    <w:rsid w:val="00BD5B0D"/>
    <w:rsid w:val="00C14367"/>
    <w:rsid w:val="00C43520"/>
    <w:rsid w:val="00C4719D"/>
    <w:rsid w:val="00C926AA"/>
    <w:rsid w:val="00D62474"/>
    <w:rsid w:val="00D65A6F"/>
    <w:rsid w:val="00D75035"/>
    <w:rsid w:val="00DA254C"/>
    <w:rsid w:val="00DB3710"/>
    <w:rsid w:val="00DE068E"/>
    <w:rsid w:val="00DE3CDC"/>
    <w:rsid w:val="00DE6332"/>
    <w:rsid w:val="00E00EEB"/>
    <w:rsid w:val="00E30200"/>
    <w:rsid w:val="00E36396"/>
    <w:rsid w:val="00E411A8"/>
    <w:rsid w:val="00E60D51"/>
    <w:rsid w:val="00E64359"/>
    <w:rsid w:val="00E93B9F"/>
    <w:rsid w:val="00E95488"/>
    <w:rsid w:val="00E95529"/>
    <w:rsid w:val="00EA4034"/>
    <w:rsid w:val="00EA4F9A"/>
    <w:rsid w:val="00EB0443"/>
    <w:rsid w:val="00EB6B9E"/>
    <w:rsid w:val="00EC7526"/>
    <w:rsid w:val="00F27163"/>
    <w:rsid w:val="00F276EA"/>
    <w:rsid w:val="00F3227F"/>
    <w:rsid w:val="00F638D1"/>
    <w:rsid w:val="00F65F0E"/>
    <w:rsid w:val="00F74A9A"/>
    <w:rsid w:val="00F808CB"/>
    <w:rsid w:val="00F87BE1"/>
    <w:rsid w:val="00FC6B36"/>
    <w:rsid w:val="00FD65CD"/>
    <w:rsid w:val="06EDD1A0"/>
    <w:rsid w:val="09F45E7C"/>
    <w:rsid w:val="20C10301"/>
    <w:rsid w:val="5B042DD0"/>
    <w:rsid w:val="62D97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0385"/>
  <w15:chartTrackingRefBased/>
  <w15:docId w15:val="{7CFD3269-2862-476C-A48B-D8C16E90C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4B3"/>
    <w:rPr>
      <w:rFonts w:eastAsiaTheme="majorEastAsia" w:cstheme="majorBidi"/>
      <w:color w:val="272727" w:themeColor="text1" w:themeTint="D8"/>
    </w:rPr>
  </w:style>
  <w:style w:type="paragraph" w:styleId="Title">
    <w:name w:val="Title"/>
    <w:basedOn w:val="Normal"/>
    <w:next w:val="Normal"/>
    <w:link w:val="TitleChar"/>
    <w:uiPriority w:val="10"/>
    <w:qFormat/>
    <w:rsid w:val="004C2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4B3"/>
    <w:pPr>
      <w:spacing w:before="160"/>
      <w:jc w:val="center"/>
    </w:pPr>
    <w:rPr>
      <w:i/>
      <w:iCs/>
      <w:color w:val="404040" w:themeColor="text1" w:themeTint="BF"/>
    </w:rPr>
  </w:style>
  <w:style w:type="character" w:customStyle="1" w:styleId="QuoteChar">
    <w:name w:val="Quote Char"/>
    <w:basedOn w:val="DefaultParagraphFont"/>
    <w:link w:val="Quote"/>
    <w:uiPriority w:val="29"/>
    <w:rsid w:val="004C24B3"/>
    <w:rPr>
      <w:i/>
      <w:iCs/>
      <w:color w:val="404040" w:themeColor="text1" w:themeTint="BF"/>
    </w:rPr>
  </w:style>
  <w:style w:type="paragraph" w:styleId="ListParagraph">
    <w:name w:val="List Paragraph"/>
    <w:basedOn w:val="Normal"/>
    <w:uiPriority w:val="34"/>
    <w:qFormat/>
    <w:rsid w:val="004C24B3"/>
    <w:pPr>
      <w:ind w:left="720"/>
      <w:contextualSpacing/>
    </w:pPr>
  </w:style>
  <w:style w:type="character" w:styleId="IntenseEmphasis">
    <w:name w:val="Intense Emphasis"/>
    <w:basedOn w:val="DefaultParagraphFont"/>
    <w:uiPriority w:val="21"/>
    <w:qFormat/>
    <w:rsid w:val="004C24B3"/>
    <w:rPr>
      <w:i/>
      <w:iCs/>
      <w:color w:val="0F4761" w:themeColor="accent1" w:themeShade="BF"/>
    </w:rPr>
  </w:style>
  <w:style w:type="paragraph" w:styleId="IntenseQuote">
    <w:name w:val="Intense Quote"/>
    <w:basedOn w:val="Normal"/>
    <w:next w:val="Normal"/>
    <w:link w:val="IntenseQuoteChar"/>
    <w:uiPriority w:val="30"/>
    <w:qFormat/>
    <w:rsid w:val="004C2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4B3"/>
    <w:rPr>
      <w:i/>
      <w:iCs/>
      <w:color w:val="0F4761" w:themeColor="accent1" w:themeShade="BF"/>
    </w:rPr>
  </w:style>
  <w:style w:type="character" w:styleId="IntenseReference">
    <w:name w:val="Intense Reference"/>
    <w:basedOn w:val="DefaultParagraphFont"/>
    <w:uiPriority w:val="32"/>
    <w:qFormat/>
    <w:rsid w:val="004C24B3"/>
    <w:rPr>
      <w:b/>
      <w:bCs/>
      <w:smallCaps/>
      <w:color w:val="0F4761" w:themeColor="accent1" w:themeShade="BF"/>
      <w:spacing w:val="5"/>
    </w:rPr>
  </w:style>
  <w:style w:type="table" w:styleId="TableGrid">
    <w:name w:val="Table Grid"/>
    <w:basedOn w:val="TableNormal"/>
    <w:uiPriority w:val="39"/>
    <w:rsid w:val="004C2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74C3"/>
    <w:pPr>
      <w:spacing w:after="0" w:line="240" w:lineRule="auto"/>
    </w:pPr>
  </w:style>
  <w:style w:type="paragraph" w:styleId="Header">
    <w:name w:val="header"/>
    <w:basedOn w:val="Normal"/>
    <w:link w:val="HeaderChar"/>
    <w:uiPriority w:val="99"/>
    <w:unhideWhenUsed/>
    <w:rsid w:val="00822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CE0"/>
  </w:style>
  <w:style w:type="paragraph" w:styleId="Footer">
    <w:name w:val="footer"/>
    <w:basedOn w:val="Normal"/>
    <w:link w:val="FooterChar"/>
    <w:uiPriority w:val="99"/>
    <w:unhideWhenUsed/>
    <w:rsid w:val="00822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CE0"/>
  </w:style>
  <w:style w:type="character" w:customStyle="1" w:styleId="normaltextrun">
    <w:name w:val="normaltextrun"/>
    <w:basedOn w:val="DefaultParagraphFont"/>
    <w:rsid w:val="00392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9872549C7D4DA4B1A6C41F91ADCD" ma:contentTypeVersion="12" ma:contentTypeDescription="Create a new document." ma:contentTypeScope="" ma:versionID="3f30e72380b93d19d67e7b1835c81706">
  <xsd:schema xmlns:xsd="http://www.w3.org/2001/XMLSchema" xmlns:xs="http://www.w3.org/2001/XMLSchema" xmlns:p="http://schemas.microsoft.com/office/2006/metadata/properties" xmlns:ns2="f6fbc939-3de3-4d4a-b7ab-b683cf8488e7" xmlns:ns3="554755d0-6f8c-420e-9729-daaa9d442f72" targetNamespace="http://schemas.microsoft.com/office/2006/metadata/properties" ma:root="true" ma:fieldsID="f687c3653186fa440ae7366170355de9" ns2:_="" ns3:_="">
    <xsd:import namespace="f6fbc939-3de3-4d4a-b7ab-b683cf8488e7"/>
    <xsd:import namespace="554755d0-6f8c-420e-9729-daaa9d442f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bc939-3de3-4d4a-b7ab-b683cf8488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04a538-6703-41d0-9c11-ba920771095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4755d0-6f8c-420e-9729-daaa9d442f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101eb7-4b83-409b-a508-398782aa62a8}" ma:internalName="TaxCatchAll" ma:showField="CatchAllData" ma:web="554755d0-6f8c-420e-9729-daaa9d442f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54755d0-6f8c-420e-9729-daaa9d442f72" xsi:nil="true"/>
    <lcf76f155ced4ddcb4097134ff3c332f xmlns="f6fbc939-3de3-4d4a-b7ab-b683cf8488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27039E-5DAC-4CDB-AEAF-801828A2A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bc939-3de3-4d4a-b7ab-b683cf8488e7"/>
    <ds:schemaRef ds:uri="554755d0-6f8c-420e-9729-daaa9d442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78EF30-6C7B-4DA5-8414-0AED78D9EEF2}">
  <ds:schemaRefs>
    <ds:schemaRef ds:uri="http://schemas.microsoft.com/sharepoint/v3/contenttype/forms"/>
  </ds:schemaRefs>
</ds:datastoreItem>
</file>

<file path=customXml/itemProps3.xml><?xml version="1.0" encoding="utf-8"?>
<ds:datastoreItem xmlns:ds="http://schemas.openxmlformats.org/officeDocument/2006/customXml" ds:itemID="{F06274BD-7E2F-430E-97C5-7012E8B9B11C}">
  <ds:schemaRefs>
    <ds:schemaRef ds:uri="http://schemas.microsoft.com/office/2006/metadata/properties"/>
    <ds:schemaRef ds:uri="http://purl.org/dc/elements/1.1/"/>
    <ds:schemaRef ds:uri="http://www.w3.org/XML/1998/namespace"/>
    <ds:schemaRef ds:uri="f6fbc939-3de3-4d4a-b7ab-b683cf8488e7"/>
    <ds:schemaRef ds:uri="http://schemas.microsoft.com/office/infopath/2007/PartnerControls"/>
    <ds:schemaRef ds:uri="http://schemas.openxmlformats.org/package/2006/metadata/core-properties"/>
    <ds:schemaRef ds:uri="http://schemas.microsoft.com/office/2006/documentManagement/types"/>
    <ds:schemaRef ds:uri="554755d0-6f8c-420e-9729-daaa9d442f72"/>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870</Words>
  <Characters>4090</Characters>
  <Application>Microsoft Office Word</Application>
  <DocSecurity>0</DocSecurity>
  <Lines>255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Delisser</dc:creator>
  <cp:keywords/>
  <dc:description/>
  <cp:lastModifiedBy>Amy Birkett</cp:lastModifiedBy>
  <cp:revision>2</cp:revision>
  <dcterms:created xsi:type="dcterms:W3CDTF">2026-01-14T07:43:00Z</dcterms:created>
  <dcterms:modified xsi:type="dcterms:W3CDTF">2026-01-14T07:43:00Z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0x01010062F69872549C7D4DA4B1A6C41F91ADCD</vt:lpwstr>
  </property>
</Properties>
</file>